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28"/>
        <w:gridCol w:w="743"/>
        <w:gridCol w:w="1793"/>
        <w:gridCol w:w="8259"/>
      </w:tblGrid>
      <w:tr w:rsidR="008B25A9" w:rsidRPr="00770D77" w:rsidTr="008B25A9">
        <w:tc>
          <w:tcPr>
            <w:tcW w:w="928" w:type="dxa"/>
            <w:tcBorders>
              <w:right w:val="single" w:sz="4" w:space="0" w:color="FFFFFF" w:themeColor="background1"/>
            </w:tcBorders>
          </w:tcPr>
          <w:p w:rsidR="008B25A9" w:rsidRPr="00770D77" w:rsidRDefault="008B25A9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</w:tcPr>
          <w:p w:rsidR="008B25A9" w:rsidRPr="00770D77" w:rsidRDefault="008B25A9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713</w:t>
            </w:r>
          </w:p>
        </w:tc>
        <w:tc>
          <w:tcPr>
            <w:tcW w:w="1793" w:type="dxa"/>
            <w:tcBorders>
              <w:right w:val="nil"/>
            </w:tcBorders>
          </w:tcPr>
          <w:p w:rsidR="008B25A9" w:rsidRPr="00770D77" w:rsidRDefault="008B25A9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259" w:type="dxa"/>
            <w:tcBorders>
              <w:left w:val="nil"/>
            </w:tcBorders>
          </w:tcPr>
          <w:p w:rsidR="008B25A9" w:rsidRPr="00770D77" w:rsidRDefault="008B25A9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7.SP.2.3,  7.SP.2.4</w:t>
            </w:r>
          </w:p>
        </w:tc>
      </w:tr>
      <w:tr w:rsidR="008B25A9" w:rsidRPr="00770D77" w:rsidTr="008B25A9">
        <w:trPr>
          <w:trHeight w:val="1313"/>
        </w:trPr>
        <w:tc>
          <w:tcPr>
            <w:tcW w:w="928" w:type="dxa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795" w:type="dxa"/>
            <w:gridSpan w:val="3"/>
          </w:tcPr>
          <w:p w:rsidR="008B25A9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8B25A9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B25A9" w:rsidRDefault="008B25A9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25A9" w:rsidRPr="00CC53C9" w:rsidRDefault="00CC53C9" w:rsidP="00CC53C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4"/>
              </w:rPr>
            </w:pPr>
            <w:r w:rsidRPr="00CC53C9">
              <w:rPr>
                <w:rFonts w:ascii="Century Gothic" w:hAnsi="Century Gothic"/>
                <w:sz w:val="22"/>
                <w:szCs w:val="24"/>
              </w:rPr>
              <w:t xml:space="preserve">Given one set of data, select one variable that will create two subsets within the data set that will have similar </w:t>
            </w:r>
            <w:proofErr w:type="spellStart"/>
            <w:r w:rsidRPr="00CC53C9">
              <w:rPr>
                <w:rFonts w:ascii="Century Gothic" w:hAnsi="Century Gothic"/>
                <w:sz w:val="22"/>
                <w:szCs w:val="24"/>
              </w:rPr>
              <w:t>variabilities</w:t>
            </w:r>
            <w:proofErr w:type="spellEnd"/>
            <w:r w:rsidRPr="00CC53C9">
              <w:rPr>
                <w:rFonts w:ascii="Century Gothic" w:hAnsi="Century Gothic"/>
                <w:sz w:val="22"/>
                <w:szCs w:val="24"/>
              </w:rPr>
              <w:t xml:space="preserve"> and different measures of center. (</w:t>
            </w:r>
            <w:proofErr w:type="gramStart"/>
            <w:r w:rsidRPr="00CC53C9">
              <w:rPr>
                <w:rFonts w:ascii="Century Gothic" w:hAnsi="Century Gothic"/>
                <w:sz w:val="22"/>
                <w:szCs w:val="24"/>
              </w:rPr>
              <w:t>i.e</w:t>
            </w:r>
            <w:proofErr w:type="gramEnd"/>
            <w:r w:rsidRPr="00CC53C9">
              <w:rPr>
                <w:rFonts w:ascii="Century Gothic" w:hAnsi="Century Gothic"/>
                <w:sz w:val="22"/>
                <w:szCs w:val="24"/>
              </w:rPr>
              <w:t>. Given data on one professional football team, analyze weight, height, or salary based on position or experience.)</w:t>
            </w:r>
          </w:p>
          <w:p w:rsidR="008B25A9" w:rsidRPr="00770D77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B25A9" w:rsidRPr="00770D77" w:rsidTr="008B25A9">
        <w:tc>
          <w:tcPr>
            <w:tcW w:w="928" w:type="dxa"/>
            <w:shd w:val="clear" w:color="auto" w:fill="DEEAF6" w:themeFill="accent1" w:themeFillTint="33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B25A9" w:rsidRPr="00972E39" w:rsidTr="008B25A9">
        <w:trPr>
          <w:trHeight w:val="1385"/>
        </w:trPr>
        <w:tc>
          <w:tcPr>
            <w:tcW w:w="928" w:type="dxa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795" w:type="dxa"/>
            <w:gridSpan w:val="3"/>
          </w:tcPr>
          <w:p w:rsidR="008B25A9" w:rsidRPr="008B25A9" w:rsidRDefault="008B25A9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8B25A9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8B25A9">
              <w:rPr>
                <w:rFonts w:ascii="Century Gothic" w:hAnsi="Century Gothic" w:cs="JasmineUPC"/>
                <w:b/>
                <w:sz w:val="32"/>
                <w:szCs w:val="28"/>
              </w:rPr>
              <w:t>draw informal comparative inferences about two populations.</w:t>
            </w:r>
          </w:p>
          <w:p w:rsidR="008B25A9" w:rsidRDefault="008B25A9" w:rsidP="0038738B">
            <w:pPr>
              <w:rPr>
                <w:rFonts w:ascii="Century Gothic" w:hAnsi="Century Gothic"/>
                <w:szCs w:val="24"/>
              </w:rPr>
            </w:pPr>
          </w:p>
          <w:p w:rsidR="008B25A9" w:rsidRPr="007F2885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F288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F2885" w:rsidRPr="00CC53C9" w:rsidRDefault="005D67E8" w:rsidP="007F288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4"/>
              </w:rPr>
            </w:pPr>
            <w:hyperlink r:id="rId6" w:history="1">
              <w:r w:rsidR="007F2885" w:rsidRPr="005D67E8">
                <w:rPr>
                  <w:rStyle w:val="Hyperlink"/>
                  <w:rFonts w:ascii="Century Gothic" w:hAnsi="Century Gothic"/>
                  <w:sz w:val="22"/>
                  <w:szCs w:val="24"/>
                </w:rPr>
                <w:t>Interpret the difference in the mean or median of two different data sets in terms of variability. (7.SP.2.3)</w:t>
              </w:r>
            </w:hyperlink>
          </w:p>
          <w:p w:rsidR="00F81658" w:rsidRPr="00CC53C9" w:rsidRDefault="005D67E8" w:rsidP="007F288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4"/>
              </w:rPr>
            </w:pPr>
            <w:hyperlink r:id="rId7" w:history="1">
              <w:r w:rsidR="00F81658" w:rsidRPr="005D67E8">
                <w:rPr>
                  <w:rStyle w:val="Hyperlink"/>
                  <w:rFonts w:ascii="Century Gothic" w:hAnsi="Century Gothic"/>
                  <w:sz w:val="22"/>
                  <w:szCs w:val="24"/>
                </w:rPr>
                <w:t xml:space="preserve">Informally assess the degree of visual overlap of two numerical data distributions with similar </w:t>
              </w:r>
              <w:proofErr w:type="spellStart"/>
              <w:r w:rsidR="00F81658" w:rsidRPr="005D67E8">
                <w:rPr>
                  <w:rStyle w:val="Hyperlink"/>
                  <w:rFonts w:ascii="Century Gothic" w:hAnsi="Century Gothic"/>
                  <w:sz w:val="22"/>
                  <w:szCs w:val="24"/>
                </w:rPr>
                <w:t>variabilities</w:t>
              </w:r>
              <w:proofErr w:type="spellEnd"/>
              <w:r w:rsidR="00F81658" w:rsidRPr="005D67E8">
                <w:rPr>
                  <w:rStyle w:val="Hyperlink"/>
                  <w:rFonts w:ascii="Century Gothic" w:hAnsi="Century Gothic"/>
                  <w:sz w:val="22"/>
                  <w:szCs w:val="24"/>
                </w:rPr>
                <w:t>. (7.SP.2.3)</w:t>
              </w:r>
            </w:hyperlink>
          </w:p>
          <w:p w:rsidR="008B25A9" w:rsidRPr="005D67E8" w:rsidRDefault="005D67E8" w:rsidP="007F288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fldChar w:fldCharType="begin"/>
            </w:r>
            <w:r>
              <w:rPr>
                <w:rFonts w:ascii="Century Gothic" w:hAnsi="Century Gothic"/>
                <w:sz w:val="22"/>
                <w:szCs w:val="24"/>
              </w:rPr>
              <w:instrText xml:space="preserve"> HYPERLINK "http://www.cpalms.org/Public/PreviewResource/Preview/66143" </w:instrText>
            </w:r>
            <w:r>
              <w:rPr>
                <w:rFonts w:ascii="Century Gothic" w:hAnsi="Century Gothic"/>
                <w:sz w:val="22"/>
                <w:szCs w:val="24"/>
              </w:rPr>
            </w:r>
            <w:r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8B25A9" w:rsidRPr="005D67E8">
              <w:rPr>
                <w:rStyle w:val="Hyperlink"/>
                <w:rFonts w:ascii="Century Gothic" w:hAnsi="Century Gothic"/>
                <w:sz w:val="22"/>
                <w:szCs w:val="24"/>
              </w:rPr>
              <w:t>Compare two populations by using the means and/or medians of data collected from random samples. (7.SP.2.4)</w:t>
            </w:r>
          </w:p>
          <w:p w:rsidR="008B25A9" w:rsidRPr="00CC53C9" w:rsidRDefault="008B25A9" w:rsidP="007F2885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 w:val="22"/>
                <w:szCs w:val="24"/>
              </w:rPr>
            </w:pPr>
            <w:r w:rsidRPr="005D67E8">
              <w:rPr>
                <w:rStyle w:val="Hyperlink"/>
                <w:rFonts w:ascii="Century Gothic" w:hAnsi="Century Gothic"/>
                <w:sz w:val="22"/>
                <w:szCs w:val="24"/>
              </w:rPr>
              <w:t xml:space="preserve">Compare two populations by using the mean absolute deviations and/or interquartile ranges of data </w:t>
            </w:r>
            <w:r w:rsidR="00F81658" w:rsidRPr="005D67E8">
              <w:rPr>
                <w:rStyle w:val="Hyperlink"/>
                <w:rFonts w:ascii="Century Gothic" w:hAnsi="Century Gothic"/>
                <w:sz w:val="22"/>
                <w:szCs w:val="24"/>
              </w:rPr>
              <w:t xml:space="preserve">collected </w:t>
            </w:r>
            <w:r w:rsidRPr="005D67E8">
              <w:rPr>
                <w:rStyle w:val="Hyperlink"/>
                <w:rFonts w:ascii="Century Gothic" w:hAnsi="Century Gothic"/>
                <w:sz w:val="22"/>
                <w:szCs w:val="24"/>
              </w:rPr>
              <w:t>from random samples. (7.SP.2.4)</w:t>
            </w:r>
            <w:r w:rsidR="005D67E8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Start w:id="0" w:name="_GoBack"/>
            <w:bookmarkEnd w:id="0"/>
          </w:p>
          <w:p w:rsidR="007F2885" w:rsidRPr="00CC53C9" w:rsidRDefault="005D67E8" w:rsidP="00CC53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4"/>
              </w:rPr>
            </w:pPr>
            <w:hyperlink r:id="rId8" w:history="1">
              <w:r w:rsidR="007F2885" w:rsidRPr="005D67E8">
                <w:rPr>
                  <w:rStyle w:val="Hyperlink"/>
                  <w:rFonts w:ascii="Century Gothic" w:hAnsi="Century Gothic"/>
                  <w:sz w:val="22"/>
                  <w:szCs w:val="24"/>
                </w:rPr>
                <w:t>Draw inferences about populations using measures of central tendency and variability from random samples. (7.SP.2.4)</w:t>
              </w:r>
            </w:hyperlink>
          </w:p>
          <w:p w:rsidR="008B25A9" w:rsidRPr="00972E39" w:rsidRDefault="008B25A9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B25A9" w:rsidRPr="00770D77" w:rsidTr="008B25A9">
        <w:tc>
          <w:tcPr>
            <w:tcW w:w="928" w:type="dxa"/>
            <w:shd w:val="clear" w:color="auto" w:fill="DEEAF6" w:themeFill="accent1" w:themeFillTint="33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8B25A9" w:rsidRPr="001F0125" w:rsidTr="008B25A9">
        <w:trPr>
          <w:trHeight w:val="1466"/>
        </w:trPr>
        <w:tc>
          <w:tcPr>
            <w:tcW w:w="928" w:type="dxa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795" w:type="dxa"/>
            <w:gridSpan w:val="3"/>
          </w:tcPr>
          <w:p w:rsidR="008B25A9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10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8"/>
              <w:gridCol w:w="2590"/>
              <w:gridCol w:w="2093"/>
              <w:gridCol w:w="1917"/>
            </w:tblGrid>
            <w:tr w:rsidR="008B25A9" w:rsidRPr="00BD647D" w:rsidTr="008B25A9">
              <w:trPr>
                <w:trHeight w:val="2213"/>
              </w:trPr>
              <w:tc>
                <w:tcPr>
                  <w:tcW w:w="3937" w:type="dxa"/>
                </w:tcPr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Representative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Simple Random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Stratified Random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Systematic Random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Voluntary Response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Convenience Sample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Measures of Central Tendency</w:t>
                  </w:r>
                </w:p>
              </w:tc>
              <w:tc>
                <w:tcPr>
                  <w:tcW w:w="2619" w:type="dxa"/>
                </w:tcPr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Random Sample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Sample Space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Comparative Data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Margin of Error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Variation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Survey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Outlier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Population</w:t>
                  </w:r>
                </w:p>
              </w:tc>
              <w:tc>
                <w:tcPr>
                  <w:tcW w:w="1971" w:type="dxa"/>
                </w:tcPr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Inference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Shape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Spread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Variability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Size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Variation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Simple Event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</w:rPr>
                    <w:t>Generalization</w:t>
                  </w:r>
                </w:p>
              </w:tc>
              <w:tc>
                <w:tcPr>
                  <w:tcW w:w="1931" w:type="dxa"/>
                </w:tcPr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Histogram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Stem-and-Leaf Plot</w:t>
                  </w:r>
                </w:p>
                <w:p w:rsidR="008B25A9" w:rsidRPr="00BD647D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Box Plot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  <w:szCs w:val="24"/>
                    </w:rPr>
                  </w:pPr>
                  <w:r w:rsidRPr="00BD647D">
                    <w:rPr>
                      <w:rFonts w:ascii="Century Gothic" w:hAnsi="Century Gothic"/>
                      <w:sz w:val="22"/>
                      <w:szCs w:val="20"/>
                    </w:rPr>
                    <w:t>Circle Graph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>Valid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>Biased</w:t>
                  </w:r>
                </w:p>
                <w:p w:rsidR="008B25A9" w:rsidRPr="007942C2" w:rsidRDefault="008B25A9" w:rsidP="008B25A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 w:val="22"/>
                      <w:szCs w:val="24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>Unbiased</w:t>
                  </w:r>
                </w:p>
              </w:tc>
            </w:tr>
          </w:tbl>
          <w:p w:rsidR="008B25A9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8B25A9" w:rsidRDefault="008B25A9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F2885" w:rsidRPr="00CC53C9" w:rsidRDefault="00EF63B2" w:rsidP="007F28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 w:rsidRPr="00CC53C9">
              <w:rPr>
                <w:rFonts w:ascii="Century Gothic" w:hAnsi="Century Gothic" w:cs="TimesNewRomanPSMT"/>
                <w:sz w:val="22"/>
              </w:rPr>
              <w:t>Understand that the data requires consideration of the measures of variability as well as mean or median. (7.SP.2.3)</w:t>
            </w:r>
          </w:p>
          <w:p w:rsidR="00CC53C9" w:rsidRPr="00CC53C9" w:rsidRDefault="00EF63B2" w:rsidP="00CC53C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 w:rsidRPr="00CC53C9">
              <w:rPr>
                <w:rFonts w:ascii="Century Gothic" w:hAnsi="Century Gothic"/>
                <w:sz w:val="22"/>
                <w:szCs w:val="24"/>
              </w:rPr>
              <w:t>Find the difference in the mean or median of two different data sets. (7.SP.2.3)</w:t>
            </w:r>
          </w:p>
          <w:p w:rsidR="00F81658" w:rsidRPr="00CC53C9" w:rsidRDefault="00F81658" w:rsidP="00CC53C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 w:rsidRPr="00CC53C9">
              <w:rPr>
                <w:rFonts w:ascii="Century Gothic" w:hAnsi="Century Gothic"/>
                <w:sz w:val="22"/>
              </w:rPr>
              <w:t>Calculate</w:t>
            </w:r>
            <w:r w:rsidR="008B25A9" w:rsidRPr="00CC53C9">
              <w:rPr>
                <w:rFonts w:ascii="Century Gothic" w:hAnsi="Century Gothic"/>
                <w:sz w:val="22"/>
              </w:rPr>
              <w:t xml:space="preserve"> the measures of central tendency and variability. (7.SP.2.4) </w:t>
            </w:r>
          </w:p>
        </w:tc>
      </w:tr>
      <w:tr w:rsidR="008B25A9" w:rsidRPr="00770D77" w:rsidTr="008B25A9">
        <w:tc>
          <w:tcPr>
            <w:tcW w:w="928" w:type="dxa"/>
            <w:shd w:val="clear" w:color="auto" w:fill="DEEAF6" w:themeFill="accent1" w:themeFillTint="33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B25A9" w:rsidRPr="00770D77" w:rsidTr="008B25A9">
        <w:tc>
          <w:tcPr>
            <w:tcW w:w="928" w:type="dxa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795" w:type="dxa"/>
            <w:gridSpan w:val="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B25A9" w:rsidRPr="00770D77" w:rsidTr="008B25A9">
        <w:tc>
          <w:tcPr>
            <w:tcW w:w="928" w:type="dxa"/>
            <w:shd w:val="clear" w:color="auto" w:fill="DEEAF6" w:themeFill="accent1" w:themeFillTint="33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795" w:type="dxa"/>
            <w:gridSpan w:val="3"/>
            <w:shd w:val="clear" w:color="auto" w:fill="DEEAF6" w:themeFill="accent1" w:themeFillTint="3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B25A9" w:rsidRPr="00770D77" w:rsidTr="008B25A9">
        <w:tc>
          <w:tcPr>
            <w:tcW w:w="928" w:type="dxa"/>
          </w:tcPr>
          <w:p w:rsidR="008B25A9" w:rsidRPr="0041380F" w:rsidRDefault="008B25A9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795" w:type="dxa"/>
            <w:gridSpan w:val="3"/>
          </w:tcPr>
          <w:p w:rsidR="008B25A9" w:rsidRPr="00770D77" w:rsidRDefault="008B25A9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8B2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3E8"/>
    <w:multiLevelType w:val="hybridMultilevel"/>
    <w:tmpl w:val="B43A8E6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6323B"/>
    <w:multiLevelType w:val="hybridMultilevel"/>
    <w:tmpl w:val="75A84F6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E6F6B"/>
    <w:multiLevelType w:val="hybridMultilevel"/>
    <w:tmpl w:val="6AA24C0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40D4A"/>
    <w:multiLevelType w:val="hybridMultilevel"/>
    <w:tmpl w:val="F768E0A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9"/>
    <w:rsid w:val="005D67E8"/>
    <w:rsid w:val="007F2885"/>
    <w:rsid w:val="008200C4"/>
    <w:rsid w:val="008B25A9"/>
    <w:rsid w:val="00A165A3"/>
    <w:rsid w:val="00CC53C9"/>
    <w:rsid w:val="00EF63B2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A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7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A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1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6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2014-06-17T15:25:00Z</dcterms:created>
  <dcterms:modified xsi:type="dcterms:W3CDTF">2014-06-25T13:40:00Z</dcterms:modified>
</cp:coreProperties>
</file>